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B5C34" w14:textId="1B08F552" w:rsidR="0068763C" w:rsidRDefault="0068763C" w:rsidP="0068763C">
      <w:pPr>
        <w:spacing w:after="0"/>
        <w:rPr>
          <w:rFonts w:ascii="Arial" w:hAnsi="Arial" w:cs="Arial"/>
          <w:b/>
          <w:bCs/>
        </w:rPr>
      </w:pPr>
      <w:r>
        <w:rPr>
          <w:rFonts w:ascii="Arial" w:hAnsi="Arial" w:cs="Arial"/>
          <w:b/>
          <w:bCs/>
        </w:rPr>
        <w:t>Appeals Process</w:t>
      </w:r>
    </w:p>
    <w:p w14:paraId="20E7BE50" w14:textId="77777777" w:rsidR="0068763C" w:rsidRDefault="0068763C" w:rsidP="0068763C">
      <w:pPr>
        <w:spacing w:after="0"/>
        <w:rPr>
          <w:rFonts w:ascii="Arial" w:hAnsi="Arial" w:cs="Arial"/>
          <w:b/>
          <w:bCs/>
        </w:rPr>
      </w:pPr>
    </w:p>
    <w:p w14:paraId="713A1AC8" w14:textId="54ECF109" w:rsidR="0068763C" w:rsidRDefault="0068763C" w:rsidP="0068763C">
      <w:pPr>
        <w:spacing w:after="0"/>
        <w:rPr>
          <w:rFonts w:ascii="Arial" w:hAnsi="Arial" w:cs="Arial"/>
          <w:b/>
          <w:bCs/>
        </w:rPr>
      </w:pPr>
      <w:r w:rsidRPr="00102170">
        <w:rPr>
          <w:rFonts w:ascii="Arial" w:hAnsi="Arial" w:cs="Arial"/>
          <w:b/>
          <w:bCs/>
        </w:rPr>
        <w:t>Endorsement Decision</w:t>
      </w:r>
    </w:p>
    <w:p w14:paraId="5D224D1C" w14:textId="77777777" w:rsidR="0068763C" w:rsidRPr="00102170" w:rsidRDefault="0068763C" w:rsidP="0068763C">
      <w:pPr>
        <w:spacing w:after="0"/>
        <w:rPr>
          <w:rFonts w:ascii="Arial" w:hAnsi="Arial" w:cs="Arial"/>
          <w:b/>
          <w:bCs/>
        </w:rPr>
      </w:pPr>
    </w:p>
    <w:p w14:paraId="07F51F17" w14:textId="77777777" w:rsidR="0068763C" w:rsidRPr="00102170" w:rsidRDefault="0068763C" w:rsidP="0068763C">
      <w:pPr>
        <w:spacing w:after="0"/>
        <w:rPr>
          <w:rFonts w:ascii="Arial" w:hAnsi="Arial" w:cs="Arial"/>
          <w:iCs/>
        </w:rPr>
      </w:pPr>
      <w:r w:rsidRPr="00102170">
        <w:rPr>
          <w:rFonts w:ascii="Arial" w:hAnsi="Arial" w:cs="Arial"/>
          <w:iCs/>
        </w:rPr>
        <w:t>An endorsement request may be accepted only where a Player</w:t>
      </w:r>
      <w:r>
        <w:rPr>
          <w:rFonts w:ascii="Arial" w:hAnsi="Arial" w:cs="Arial"/>
          <w:iCs/>
        </w:rPr>
        <w:t>,</w:t>
      </w:r>
      <w:r w:rsidRPr="00102170">
        <w:rPr>
          <w:rFonts w:ascii="Arial" w:hAnsi="Arial" w:cs="Arial"/>
          <w:iCs/>
        </w:rPr>
        <w:t xml:space="preserve"> </w:t>
      </w:r>
      <w:r>
        <w:rPr>
          <w:rFonts w:ascii="Arial" w:hAnsi="Arial" w:cs="Arial"/>
          <w:iCs/>
        </w:rPr>
        <w:t xml:space="preserve">Director of Basketball, </w:t>
      </w:r>
      <w:r w:rsidRPr="00102170">
        <w:rPr>
          <w:rFonts w:ascii="Arial" w:hAnsi="Arial" w:cs="Arial"/>
          <w:iCs/>
        </w:rPr>
        <w:t>Head Coach</w:t>
      </w:r>
      <w:r>
        <w:rPr>
          <w:rFonts w:ascii="Arial" w:hAnsi="Arial" w:cs="Arial"/>
          <w:iCs/>
        </w:rPr>
        <w:t xml:space="preserve"> or Assistant Coach</w:t>
      </w:r>
      <w:r w:rsidRPr="00102170">
        <w:rPr>
          <w:rFonts w:ascii="Arial" w:hAnsi="Arial" w:cs="Arial"/>
          <w:iCs/>
        </w:rPr>
        <w:t xml:space="preserve"> meets the criteria</w:t>
      </w:r>
      <w:r>
        <w:rPr>
          <w:rFonts w:ascii="Arial" w:hAnsi="Arial" w:cs="Arial"/>
          <w:iCs/>
        </w:rPr>
        <w:t xml:space="preserve"> in </w:t>
      </w:r>
      <w:r w:rsidRPr="00102170">
        <w:rPr>
          <w:rFonts w:ascii="Arial" w:hAnsi="Arial" w:cs="Arial"/>
          <w:iCs/>
        </w:rPr>
        <w:t xml:space="preserve">Section 2 </w:t>
      </w:r>
      <w:r>
        <w:rPr>
          <w:rFonts w:ascii="Arial" w:hAnsi="Arial" w:cs="Arial"/>
          <w:iCs/>
        </w:rPr>
        <w:t>‘</w:t>
      </w:r>
      <w:r w:rsidRPr="00102170">
        <w:rPr>
          <w:rFonts w:ascii="Arial" w:hAnsi="Arial" w:cs="Arial"/>
          <w:iCs/>
        </w:rPr>
        <w:t>Requirements</w:t>
      </w:r>
      <w:r>
        <w:rPr>
          <w:rFonts w:ascii="Arial" w:hAnsi="Arial" w:cs="Arial"/>
          <w:iCs/>
        </w:rPr>
        <w:t>’.</w:t>
      </w:r>
      <w:r w:rsidRPr="00102170">
        <w:rPr>
          <w:rFonts w:ascii="Arial" w:hAnsi="Arial" w:cs="Arial"/>
          <w:iCs/>
        </w:rPr>
        <w:t xml:space="preserve"> Basketball England will notify the sponsor in writing of any endorsement request which is refused setting out the reasons for refusal.</w:t>
      </w:r>
    </w:p>
    <w:p w14:paraId="61B668C1" w14:textId="77777777" w:rsidR="0068763C" w:rsidRPr="00102170" w:rsidRDefault="0068763C" w:rsidP="0068763C">
      <w:pPr>
        <w:spacing w:after="0"/>
        <w:rPr>
          <w:rFonts w:ascii="Arial" w:hAnsi="Arial" w:cs="Arial"/>
          <w:iCs/>
        </w:rPr>
      </w:pPr>
      <w:r w:rsidRPr="00102170">
        <w:rPr>
          <w:rFonts w:ascii="Arial" w:hAnsi="Arial" w:cs="Arial"/>
          <w:iCs/>
        </w:rPr>
        <w:t xml:space="preserve"> </w:t>
      </w:r>
    </w:p>
    <w:p w14:paraId="2DDDA52E" w14:textId="77777777" w:rsidR="0068763C" w:rsidRDefault="0068763C" w:rsidP="0068763C">
      <w:pPr>
        <w:spacing w:after="0"/>
        <w:rPr>
          <w:rFonts w:ascii="Arial" w:hAnsi="Arial" w:cs="Arial"/>
          <w:iCs/>
        </w:rPr>
      </w:pPr>
      <w:r w:rsidRPr="00102170">
        <w:rPr>
          <w:rFonts w:ascii="Arial" w:hAnsi="Arial" w:cs="Arial"/>
          <w:iCs/>
        </w:rPr>
        <w:t>An endorsement request will be refused if the Player</w:t>
      </w:r>
      <w:r>
        <w:rPr>
          <w:rFonts w:ascii="Arial" w:hAnsi="Arial" w:cs="Arial"/>
          <w:iCs/>
        </w:rPr>
        <w:t>,</w:t>
      </w:r>
      <w:r w:rsidRPr="00102170">
        <w:rPr>
          <w:rFonts w:ascii="Arial" w:hAnsi="Arial" w:cs="Arial"/>
          <w:iCs/>
        </w:rPr>
        <w:t xml:space="preserve"> Head Coach</w:t>
      </w:r>
      <w:r>
        <w:rPr>
          <w:rFonts w:ascii="Arial" w:hAnsi="Arial" w:cs="Arial"/>
          <w:iCs/>
        </w:rPr>
        <w:t xml:space="preserve"> or Assistant Coach</w:t>
      </w:r>
      <w:r w:rsidRPr="00102170">
        <w:rPr>
          <w:rFonts w:ascii="Arial" w:hAnsi="Arial" w:cs="Arial"/>
          <w:iCs/>
        </w:rPr>
        <w:t xml:space="preserve"> does not meet the Section 2 Requirements as set out in this document or fails to provide the mandatory documents.  </w:t>
      </w:r>
    </w:p>
    <w:p w14:paraId="2B16B339" w14:textId="77777777" w:rsidR="0068763C" w:rsidRPr="00102170" w:rsidRDefault="0068763C" w:rsidP="0068763C">
      <w:pPr>
        <w:spacing w:after="0"/>
        <w:rPr>
          <w:rFonts w:ascii="Arial" w:hAnsi="Arial" w:cs="Arial"/>
          <w:iCs/>
        </w:rPr>
      </w:pPr>
    </w:p>
    <w:p w14:paraId="20E65F8F" w14:textId="77777777" w:rsidR="0068763C" w:rsidRPr="00102170" w:rsidRDefault="0068763C" w:rsidP="0068763C">
      <w:pPr>
        <w:spacing w:after="0"/>
        <w:rPr>
          <w:rFonts w:ascii="Arial" w:hAnsi="Arial" w:cs="Arial"/>
          <w:i/>
        </w:rPr>
      </w:pPr>
    </w:p>
    <w:p w14:paraId="40ECC039" w14:textId="77777777" w:rsidR="0068763C" w:rsidRPr="00102170" w:rsidRDefault="0068763C" w:rsidP="0068763C">
      <w:pPr>
        <w:spacing w:after="0"/>
        <w:rPr>
          <w:rFonts w:ascii="Arial" w:hAnsi="Arial" w:cs="Arial"/>
          <w:b/>
          <w:bCs/>
          <w:iCs/>
        </w:rPr>
      </w:pPr>
      <w:r w:rsidRPr="00102170">
        <w:rPr>
          <w:rFonts w:ascii="Arial" w:hAnsi="Arial" w:cs="Arial"/>
          <w:b/>
          <w:bCs/>
          <w:iCs/>
        </w:rPr>
        <w:t>Dispute handling procedures</w:t>
      </w:r>
    </w:p>
    <w:p w14:paraId="55972B4A" w14:textId="77777777" w:rsidR="0068763C" w:rsidRDefault="0068763C" w:rsidP="0068763C">
      <w:pPr>
        <w:spacing w:after="0"/>
        <w:rPr>
          <w:rFonts w:ascii="Arial" w:hAnsi="Arial" w:cs="Arial"/>
        </w:rPr>
      </w:pPr>
      <w:r w:rsidRPr="00102170">
        <w:rPr>
          <w:rFonts w:ascii="Arial" w:hAnsi="Arial" w:cs="Arial"/>
        </w:rPr>
        <w:br/>
        <w:t xml:space="preserve">Where an application for either a player to play in a team or a coach to coach a team in one of the leagues covered by the requirements for a governing body endorsement as set out for International Sportsperson has been refused on the grounds that the player or coach fails to meet the published requirements, the sponsor may seek an appeal of the decision. The sponsor will have </w:t>
      </w:r>
      <w:r>
        <w:rPr>
          <w:rFonts w:ascii="Arial" w:hAnsi="Arial" w:cs="Arial"/>
        </w:rPr>
        <w:t>7</w:t>
      </w:r>
      <w:r w:rsidRPr="00102170">
        <w:rPr>
          <w:rFonts w:ascii="Arial" w:hAnsi="Arial" w:cs="Arial"/>
        </w:rPr>
        <w:t xml:space="preserve"> days to request an appeal. In these cases, Basketball England will refer the sponsor’s evidence to an independent appeal panel as set out below.   </w:t>
      </w:r>
    </w:p>
    <w:p w14:paraId="236494E5" w14:textId="77777777" w:rsidR="0068763C" w:rsidRPr="00102170" w:rsidRDefault="0068763C" w:rsidP="0068763C">
      <w:pPr>
        <w:spacing w:after="0"/>
        <w:rPr>
          <w:rFonts w:ascii="Arial" w:hAnsi="Arial" w:cs="Arial"/>
        </w:rPr>
      </w:pPr>
    </w:p>
    <w:p w14:paraId="64B0D4F4" w14:textId="77777777" w:rsidR="0068763C" w:rsidRDefault="0068763C" w:rsidP="0068763C">
      <w:pPr>
        <w:spacing w:after="0"/>
        <w:rPr>
          <w:rFonts w:ascii="Arial" w:hAnsi="Arial" w:cs="Arial"/>
        </w:rPr>
      </w:pPr>
      <w:r w:rsidRPr="00102170">
        <w:rPr>
          <w:rFonts w:ascii="Arial" w:hAnsi="Arial" w:cs="Arial"/>
        </w:rPr>
        <w:t xml:space="preserve">The sponsor’s supporting evidence will be sent to the appeal panel in advance for their consideration </w:t>
      </w:r>
      <w:proofErr w:type="gramStart"/>
      <w:r w:rsidRPr="00102170">
        <w:rPr>
          <w:rFonts w:ascii="Arial" w:hAnsi="Arial" w:cs="Arial"/>
        </w:rPr>
        <w:t>in order to</w:t>
      </w:r>
      <w:proofErr w:type="gramEnd"/>
      <w:r w:rsidRPr="00102170">
        <w:rPr>
          <w:rFonts w:ascii="Arial" w:hAnsi="Arial" w:cs="Arial"/>
        </w:rPr>
        <w:t xml:space="preserve"> allow an informed decision. </w:t>
      </w:r>
    </w:p>
    <w:p w14:paraId="6EE68495" w14:textId="77777777" w:rsidR="0068763C" w:rsidRPr="00102170" w:rsidRDefault="0068763C" w:rsidP="0068763C">
      <w:pPr>
        <w:spacing w:after="0"/>
        <w:rPr>
          <w:rFonts w:ascii="Arial" w:hAnsi="Arial" w:cs="Arial"/>
        </w:rPr>
      </w:pPr>
    </w:p>
    <w:p w14:paraId="1C793035" w14:textId="77777777" w:rsidR="0068763C" w:rsidRDefault="0068763C" w:rsidP="0068763C">
      <w:pPr>
        <w:spacing w:after="0"/>
        <w:rPr>
          <w:rFonts w:ascii="Arial" w:hAnsi="Arial" w:cs="Arial"/>
        </w:rPr>
      </w:pPr>
      <w:r w:rsidRPr="00102170">
        <w:rPr>
          <w:rFonts w:ascii="Arial" w:hAnsi="Arial" w:cs="Arial"/>
        </w:rPr>
        <w:t xml:space="preserve">Sponsors should note that, in respect of any application, there will only be one panel </w:t>
      </w:r>
      <w:proofErr w:type="gramStart"/>
      <w:r w:rsidRPr="00102170">
        <w:rPr>
          <w:rFonts w:ascii="Arial" w:hAnsi="Arial" w:cs="Arial"/>
        </w:rPr>
        <w:t>available</w:t>
      </w:r>
      <w:proofErr w:type="gramEnd"/>
      <w:r w:rsidRPr="00102170">
        <w:rPr>
          <w:rFonts w:ascii="Arial" w:hAnsi="Arial" w:cs="Arial"/>
        </w:rPr>
        <w:t xml:space="preserve"> and the decision of the panel is final. Sponsors should therefore ensure that all evidence it wishes to present in support of its application is presented to the panel. If the sponsor has previously made an application that was unsuccessful at appeal panel a further panel cannot be requested for the same player or Head coach during the season unless his status changes and he meets the requirements whereby a new application can be submitted. </w:t>
      </w:r>
    </w:p>
    <w:p w14:paraId="703B2044" w14:textId="77777777" w:rsidR="0068763C" w:rsidRPr="00102170" w:rsidRDefault="0068763C" w:rsidP="0068763C">
      <w:pPr>
        <w:spacing w:after="0"/>
        <w:rPr>
          <w:rFonts w:ascii="Arial" w:hAnsi="Arial" w:cs="Arial"/>
        </w:rPr>
      </w:pPr>
    </w:p>
    <w:p w14:paraId="2751C7B1" w14:textId="77777777" w:rsidR="0068763C" w:rsidRPr="00102170" w:rsidRDefault="0068763C" w:rsidP="0068763C">
      <w:pPr>
        <w:spacing w:after="0"/>
        <w:rPr>
          <w:rFonts w:ascii="Arial" w:hAnsi="Arial" w:cs="Arial"/>
          <w:b/>
          <w:bCs/>
        </w:rPr>
      </w:pPr>
      <w:r w:rsidRPr="00102170">
        <w:rPr>
          <w:rFonts w:ascii="Arial" w:hAnsi="Arial" w:cs="Arial"/>
          <w:b/>
          <w:bCs/>
        </w:rPr>
        <w:t xml:space="preserve">a. The Review </w:t>
      </w:r>
    </w:p>
    <w:p w14:paraId="076695DD" w14:textId="77777777" w:rsidR="0068763C" w:rsidRDefault="0068763C" w:rsidP="0068763C">
      <w:pPr>
        <w:spacing w:after="0"/>
        <w:rPr>
          <w:rFonts w:ascii="Arial" w:hAnsi="Arial" w:cs="Arial"/>
        </w:rPr>
      </w:pPr>
      <w:r w:rsidRPr="00102170">
        <w:rPr>
          <w:rFonts w:ascii="Arial" w:hAnsi="Arial" w:cs="Arial"/>
          <w:b/>
        </w:rPr>
        <w:t xml:space="preserve"> </w:t>
      </w:r>
      <w:r w:rsidRPr="00102170">
        <w:rPr>
          <w:rFonts w:ascii="Arial" w:hAnsi="Arial" w:cs="Arial"/>
        </w:rPr>
        <w:br/>
        <w:t xml:space="preserve">The request for an appeal may only be made by the sponsor for whom the governing body endorsement has been initially rejected by Basketball England. </w:t>
      </w:r>
    </w:p>
    <w:p w14:paraId="058FFA7B" w14:textId="77777777" w:rsidR="0068763C" w:rsidRPr="00102170" w:rsidRDefault="0068763C" w:rsidP="0068763C">
      <w:pPr>
        <w:spacing w:after="0"/>
        <w:rPr>
          <w:rFonts w:ascii="Arial" w:hAnsi="Arial" w:cs="Arial"/>
        </w:rPr>
      </w:pPr>
    </w:p>
    <w:p w14:paraId="7F890730" w14:textId="77777777" w:rsidR="0068763C" w:rsidRDefault="0068763C" w:rsidP="0068763C">
      <w:pPr>
        <w:spacing w:after="0"/>
        <w:rPr>
          <w:rFonts w:ascii="Arial" w:hAnsi="Arial" w:cs="Arial"/>
        </w:rPr>
      </w:pPr>
      <w:r w:rsidRPr="00102170">
        <w:rPr>
          <w:rFonts w:ascii="Arial" w:hAnsi="Arial" w:cs="Arial"/>
        </w:rPr>
        <w:t xml:space="preserve">An appeal shall be commenced by the appellant lodging with Basketball England Integrity Team, a notice of appeal within </w:t>
      </w:r>
      <w:r>
        <w:rPr>
          <w:rFonts w:ascii="Arial" w:hAnsi="Arial" w:cs="Arial"/>
        </w:rPr>
        <w:t>7</w:t>
      </w:r>
      <w:r w:rsidRPr="00102170">
        <w:rPr>
          <w:rFonts w:ascii="Arial" w:hAnsi="Arial" w:cs="Arial"/>
        </w:rPr>
        <w:t xml:space="preserve"> days of the decision appealed against. The notice of appeal shall:</w:t>
      </w:r>
    </w:p>
    <w:p w14:paraId="46E5B9B8" w14:textId="77777777" w:rsidR="0068763C" w:rsidRPr="00102170" w:rsidRDefault="0068763C" w:rsidP="0068763C">
      <w:pPr>
        <w:spacing w:after="0"/>
        <w:rPr>
          <w:rFonts w:ascii="Arial" w:hAnsi="Arial" w:cs="Arial"/>
        </w:rPr>
      </w:pPr>
    </w:p>
    <w:p w14:paraId="7612964A" w14:textId="77777777" w:rsidR="0068763C" w:rsidRPr="00074001" w:rsidRDefault="0068763C" w:rsidP="0068763C">
      <w:pPr>
        <w:pStyle w:val="ListParagraph"/>
        <w:numPr>
          <w:ilvl w:val="0"/>
          <w:numId w:val="1"/>
        </w:numPr>
        <w:spacing w:after="0"/>
        <w:rPr>
          <w:rFonts w:ascii="Arial" w:hAnsi="Arial" w:cs="Arial"/>
        </w:rPr>
      </w:pPr>
      <w:r w:rsidRPr="00074001">
        <w:rPr>
          <w:rFonts w:ascii="Arial" w:hAnsi="Arial" w:cs="Arial"/>
        </w:rPr>
        <w:t xml:space="preserve">set out details of the decision appealed against and, if the whole of the decision is not appealed against, identify that part of it which is appealed </w:t>
      </w:r>
      <w:proofErr w:type="gramStart"/>
      <w:r w:rsidRPr="00074001">
        <w:rPr>
          <w:rFonts w:ascii="Arial" w:hAnsi="Arial" w:cs="Arial"/>
        </w:rPr>
        <w:t>against;</w:t>
      </w:r>
      <w:proofErr w:type="gramEnd"/>
      <w:r w:rsidRPr="00074001">
        <w:rPr>
          <w:rFonts w:ascii="Arial" w:hAnsi="Arial" w:cs="Arial"/>
        </w:rPr>
        <w:t xml:space="preserve"> </w:t>
      </w:r>
    </w:p>
    <w:p w14:paraId="421C9BE7" w14:textId="77777777" w:rsidR="0068763C" w:rsidRPr="00102170" w:rsidRDefault="0068763C" w:rsidP="0068763C">
      <w:pPr>
        <w:numPr>
          <w:ilvl w:val="0"/>
          <w:numId w:val="1"/>
        </w:numPr>
        <w:spacing w:after="0"/>
        <w:rPr>
          <w:rFonts w:ascii="Arial" w:hAnsi="Arial" w:cs="Arial"/>
        </w:rPr>
      </w:pPr>
      <w:r w:rsidRPr="00102170">
        <w:rPr>
          <w:rFonts w:ascii="Arial" w:hAnsi="Arial" w:cs="Arial"/>
        </w:rPr>
        <w:t xml:space="preserve">acknowledge the sole ground of appeal applicable in this process; that being incorrect application of the endorsement </w:t>
      </w:r>
      <w:proofErr w:type="gramStart"/>
      <w:r w:rsidRPr="00102170">
        <w:rPr>
          <w:rFonts w:ascii="Arial" w:hAnsi="Arial" w:cs="Arial"/>
        </w:rPr>
        <w:t>criteria;</w:t>
      </w:r>
      <w:proofErr w:type="gramEnd"/>
    </w:p>
    <w:p w14:paraId="5E95D30B" w14:textId="77777777" w:rsidR="0068763C" w:rsidRPr="00102170" w:rsidRDefault="0068763C" w:rsidP="0068763C">
      <w:pPr>
        <w:numPr>
          <w:ilvl w:val="0"/>
          <w:numId w:val="1"/>
        </w:numPr>
        <w:spacing w:after="0"/>
        <w:rPr>
          <w:rFonts w:ascii="Arial" w:hAnsi="Arial" w:cs="Arial"/>
        </w:rPr>
      </w:pPr>
      <w:r w:rsidRPr="00102170">
        <w:rPr>
          <w:rFonts w:ascii="Arial" w:hAnsi="Arial" w:cs="Arial"/>
        </w:rPr>
        <w:t>be accompanied by a deposit of £</w:t>
      </w:r>
      <w:r>
        <w:rPr>
          <w:rFonts w:ascii="Arial" w:hAnsi="Arial" w:cs="Arial"/>
        </w:rPr>
        <w:t>1000</w:t>
      </w:r>
      <w:r w:rsidRPr="00102170">
        <w:rPr>
          <w:rFonts w:ascii="Arial" w:hAnsi="Arial" w:cs="Arial"/>
        </w:rPr>
        <w:t>.</w:t>
      </w:r>
      <w:r>
        <w:rPr>
          <w:rFonts w:ascii="Arial" w:hAnsi="Arial" w:cs="Arial"/>
        </w:rPr>
        <w:t xml:space="preserve"> A non-returnable fee of £500 applies.</w:t>
      </w:r>
      <w:r w:rsidRPr="00102170">
        <w:rPr>
          <w:rFonts w:ascii="Arial" w:hAnsi="Arial" w:cs="Arial"/>
        </w:rPr>
        <w:t xml:space="preserve"> The panel shall have discretion as to whether the </w:t>
      </w:r>
      <w:r>
        <w:rPr>
          <w:rFonts w:ascii="Arial" w:hAnsi="Arial" w:cs="Arial"/>
        </w:rPr>
        <w:t xml:space="preserve">balance of the </w:t>
      </w:r>
      <w:r w:rsidRPr="00102170">
        <w:rPr>
          <w:rFonts w:ascii="Arial" w:hAnsi="Arial" w:cs="Arial"/>
        </w:rPr>
        <w:t xml:space="preserve">deposit is returned. </w:t>
      </w:r>
    </w:p>
    <w:p w14:paraId="34CE3CF1" w14:textId="77777777" w:rsidR="0068763C" w:rsidRDefault="0068763C" w:rsidP="0068763C">
      <w:pPr>
        <w:spacing w:after="0"/>
        <w:rPr>
          <w:rFonts w:ascii="Arial" w:hAnsi="Arial" w:cs="Arial"/>
        </w:rPr>
      </w:pPr>
      <w:r w:rsidRPr="00102170">
        <w:rPr>
          <w:rFonts w:ascii="Arial" w:hAnsi="Arial" w:cs="Arial"/>
        </w:rPr>
        <w:lastRenderedPageBreak/>
        <w:t xml:space="preserve"> </w:t>
      </w:r>
      <w:r w:rsidRPr="00102170">
        <w:rPr>
          <w:rFonts w:ascii="Arial" w:hAnsi="Arial" w:cs="Arial"/>
        </w:rPr>
        <w:br/>
        <w:t xml:space="preserve">The procedure for appeal will be in accordance with the Disciplinary Regulations and the Panel shall be comprised as detailed below. </w:t>
      </w:r>
    </w:p>
    <w:p w14:paraId="6704AB43" w14:textId="77777777" w:rsidR="0068763C" w:rsidRPr="00102170" w:rsidRDefault="0068763C" w:rsidP="0068763C">
      <w:pPr>
        <w:spacing w:after="0"/>
        <w:rPr>
          <w:rFonts w:ascii="Arial" w:hAnsi="Arial" w:cs="Arial"/>
        </w:rPr>
      </w:pPr>
    </w:p>
    <w:p w14:paraId="392B0EA5" w14:textId="77777777" w:rsidR="0068763C" w:rsidRDefault="0068763C" w:rsidP="0068763C">
      <w:pPr>
        <w:spacing w:after="0"/>
        <w:rPr>
          <w:rFonts w:ascii="Arial" w:hAnsi="Arial" w:cs="Arial"/>
          <w:b/>
        </w:rPr>
      </w:pPr>
      <w:r w:rsidRPr="00102170">
        <w:rPr>
          <w:rFonts w:ascii="Arial" w:hAnsi="Arial" w:cs="Arial"/>
          <w:b/>
        </w:rPr>
        <w:t xml:space="preserve">b. The Panel </w:t>
      </w:r>
    </w:p>
    <w:p w14:paraId="43DD9999" w14:textId="77777777" w:rsidR="0068763C" w:rsidRPr="00102170" w:rsidRDefault="0068763C" w:rsidP="0068763C">
      <w:pPr>
        <w:spacing w:after="0"/>
        <w:rPr>
          <w:rFonts w:ascii="Arial" w:hAnsi="Arial" w:cs="Arial"/>
          <w:b/>
        </w:rPr>
      </w:pPr>
    </w:p>
    <w:p w14:paraId="275A4B44" w14:textId="77777777" w:rsidR="0068763C" w:rsidRPr="00102170" w:rsidRDefault="0068763C" w:rsidP="0068763C">
      <w:pPr>
        <w:spacing w:after="0"/>
        <w:rPr>
          <w:rFonts w:ascii="Arial" w:hAnsi="Arial" w:cs="Arial"/>
        </w:rPr>
      </w:pPr>
      <w:r w:rsidRPr="00102170">
        <w:rPr>
          <w:rFonts w:ascii="Arial" w:hAnsi="Arial" w:cs="Arial"/>
        </w:rPr>
        <w:t xml:space="preserve">The panel will be appointed by the Basketball England’s Discipline Officer. The appointed panel shall consist of an independent chairman, </w:t>
      </w:r>
      <w:r>
        <w:rPr>
          <w:rFonts w:ascii="Arial" w:hAnsi="Arial" w:cs="Arial"/>
        </w:rPr>
        <w:t>and two further independent Members, not connected with the BBF, the home country of the club/sponsor appealing or the Licenced Leagues.</w:t>
      </w:r>
      <w:r w:rsidRPr="00102170">
        <w:rPr>
          <w:rFonts w:ascii="Arial" w:hAnsi="Arial" w:cs="Arial"/>
        </w:rPr>
        <w:br/>
      </w:r>
    </w:p>
    <w:p w14:paraId="4E062A85" w14:textId="77777777" w:rsidR="0068763C" w:rsidRDefault="0068763C" w:rsidP="0068763C">
      <w:pPr>
        <w:spacing w:after="0"/>
        <w:rPr>
          <w:rFonts w:ascii="Arial" w:hAnsi="Arial" w:cs="Arial"/>
          <w:b/>
        </w:rPr>
      </w:pPr>
      <w:r w:rsidRPr="00102170">
        <w:rPr>
          <w:rFonts w:ascii="Arial" w:hAnsi="Arial" w:cs="Arial"/>
          <w:b/>
        </w:rPr>
        <w:t>c.    Power of the Panel</w:t>
      </w:r>
    </w:p>
    <w:p w14:paraId="5D9A20B5" w14:textId="77777777" w:rsidR="0068763C" w:rsidRDefault="0068763C" w:rsidP="0068763C">
      <w:pPr>
        <w:spacing w:after="0"/>
        <w:rPr>
          <w:rFonts w:ascii="Arial" w:hAnsi="Arial" w:cs="Arial"/>
        </w:rPr>
      </w:pPr>
      <w:r w:rsidRPr="00102170">
        <w:rPr>
          <w:rFonts w:ascii="Arial" w:hAnsi="Arial" w:cs="Arial"/>
        </w:rPr>
        <w:br/>
        <w:t xml:space="preserve">The appeal panel will be convened, and will take into consideration the initial application, the appeal submission, and any reasoning and response provided by Basketball England. The sponsor will be notified of the appeal panel’s decision within seven working days of the appeal panel meeting to make their decision. </w:t>
      </w:r>
    </w:p>
    <w:p w14:paraId="7CE5AB46" w14:textId="77777777" w:rsidR="0068763C" w:rsidRPr="00102170" w:rsidRDefault="0068763C" w:rsidP="0068763C">
      <w:pPr>
        <w:spacing w:after="0"/>
        <w:rPr>
          <w:rFonts w:ascii="Arial" w:hAnsi="Arial" w:cs="Arial"/>
          <w:b/>
        </w:rPr>
      </w:pPr>
    </w:p>
    <w:p w14:paraId="11E88F5F" w14:textId="77777777" w:rsidR="0068763C" w:rsidRDefault="0068763C" w:rsidP="0068763C">
      <w:pPr>
        <w:spacing w:after="0"/>
        <w:rPr>
          <w:rFonts w:ascii="Arial" w:hAnsi="Arial" w:cs="Arial"/>
          <w:b/>
          <w:bCs/>
        </w:rPr>
      </w:pPr>
      <w:r w:rsidRPr="00102170">
        <w:rPr>
          <w:rFonts w:ascii="Arial" w:hAnsi="Arial" w:cs="Arial"/>
          <w:b/>
          <w:bCs/>
        </w:rPr>
        <w:t xml:space="preserve">d. The Decision </w:t>
      </w:r>
    </w:p>
    <w:p w14:paraId="21D0FB91" w14:textId="77777777" w:rsidR="0068763C" w:rsidRPr="00102170" w:rsidRDefault="0068763C" w:rsidP="0068763C">
      <w:pPr>
        <w:spacing w:after="0"/>
        <w:rPr>
          <w:rFonts w:ascii="Arial" w:hAnsi="Arial" w:cs="Arial"/>
          <w:b/>
          <w:bCs/>
        </w:rPr>
      </w:pPr>
    </w:p>
    <w:p w14:paraId="694FAB29" w14:textId="77777777" w:rsidR="0068763C" w:rsidRPr="00102170" w:rsidRDefault="0068763C" w:rsidP="0068763C">
      <w:pPr>
        <w:spacing w:after="0"/>
        <w:rPr>
          <w:rFonts w:ascii="Arial" w:hAnsi="Arial" w:cs="Arial"/>
        </w:rPr>
      </w:pPr>
      <w:r w:rsidRPr="00102170">
        <w:rPr>
          <w:rFonts w:ascii="Arial" w:hAnsi="Arial" w:cs="Arial"/>
        </w:rPr>
        <w:t xml:space="preserve">The panel will </w:t>
      </w:r>
      <w:proofErr w:type="gramStart"/>
      <w:r w:rsidRPr="00102170">
        <w:rPr>
          <w:rFonts w:ascii="Arial" w:hAnsi="Arial" w:cs="Arial"/>
        </w:rPr>
        <w:t>make a decision</w:t>
      </w:r>
      <w:proofErr w:type="gramEnd"/>
      <w:r w:rsidRPr="00102170">
        <w:rPr>
          <w:rFonts w:ascii="Arial" w:hAnsi="Arial" w:cs="Arial"/>
        </w:rPr>
        <w:t xml:space="preserve"> using the above criteria which shall be final and binding. </w:t>
      </w:r>
    </w:p>
    <w:p w14:paraId="2B0A707E" w14:textId="4E625D2E" w:rsidR="00FD3CF4" w:rsidRPr="0068763C" w:rsidRDefault="00FD3CF4" w:rsidP="0068763C">
      <w:pPr>
        <w:spacing w:after="0"/>
        <w:rPr>
          <w:rFonts w:ascii="Arial" w:hAnsi="Arial" w:cs="Arial"/>
        </w:rPr>
      </w:pPr>
    </w:p>
    <w:sectPr w:rsidR="00FD3CF4" w:rsidRPr="00687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1B0733"/>
    <w:multiLevelType w:val="hybridMultilevel"/>
    <w:tmpl w:val="85BC05BC"/>
    <w:lvl w:ilvl="0" w:tplc="7922926C">
      <w:start w:val="1"/>
      <w:numFmt w:val="lowerRoman"/>
      <w:lvlText w:val="%1."/>
      <w:lvlJc w:val="left"/>
      <w:pPr>
        <w:ind w:left="866"/>
      </w:pPr>
      <w:rPr>
        <w:rFonts w:ascii="Arial" w:eastAsiaTheme="minorHAnsi" w:hAnsi="Arial" w:cs="Arial"/>
        <w:b w:val="0"/>
        <w:i w:val="0"/>
        <w:strike w:val="0"/>
        <w:dstrike w:val="0"/>
        <w:color w:val="000000"/>
        <w:sz w:val="24"/>
        <w:szCs w:val="24"/>
        <w:u w:val="none" w:color="000000"/>
        <w:bdr w:val="none" w:sz="0" w:space="0" w:color="auto"/>
        <w:shd w:val="clear" w:color="auto" w:fill="auto"/>
        <w:vertAlign w:val="baseline"/>
      </w:rPr>
    </w:lvl>
    <w:lvl w:ilvl="1" w:tplc="F50691CA">
      <w:start w:val="1"/>
      <w:numFmt w:val="lowerLetter"/>
      <w:lvlText w:val="%2"/>
      <w:lvlJc w:val="left"/>
      <w:pPr>
        <w:ind w:left="1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669BA">
      <w:start w:val="1"/>
      <w:numFmt w:val="lowerRoman"/>
      <w:lvlText w:val="%3"/>
      <w:lvlJc w:val="left"/>
      <w:pPr>
        <w:ind w:left="2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82435C">
      <w:start w:val="1"/>
      <w:numFmt w:val="decimal"/>
      <w:lvlText w:val="%4"/>
      <w:lvlJc w:val="left"/>
      <w:pPr>
        <w:ind w:left="2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AAA9DE">
      <w:start w:val="1"/>
      <w:numFmt w:val="lowerLetter"/>
      <w:lvlText w:val="%5"/>
      <w:lvlJc w:val="left"/>
      <w:pPr>
        <w:ind w:left="3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D22462">
      <w:start w:val="1"/>
      <w:numFmt w:val="lowerRoman"/>
      <w:lvlText w:val="%6"/>
      <w:lvlJc w:val="left"/>
      <w:pPr>
        <w:ind w:left="4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4607C4">
      <w:start w:val="1"/>
      <w:numFmt w:val="decimal"/>
      <w:lvlText w:val="%7"/>
      <w:lvlJc w:val="left"/>
      <w:pPr>
        <w:ind w:left="4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4823EA">
      <w:start w:val="1"/>
      <w:numFmt w:val="lowerLetter"/>
      <w:lvlText w:val="%8"/>
      <w:lvlJc w:val="left"/>
      <w:pPr>
        <w:ind w:left="5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AF8D8">
      <w:start w:val="1"/>
      <w:numFmt w:val="lowerRoman"/>
      <w:lvlText w:val="%9"/>
      <w:lvlJc w:val="left"/>
      <w:pPr>
        <w:ind w:left="6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53728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3C"/>
    <w:rsid w:val="005C4B22"/>
    <w:rsid w:val="0068763C"/>
    <w:rsid w:val="00FD3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9382"/>
  <w15:chartTrackingRefBased/>
  <w15:docId w15:val="{F6C31FF2-631E-4291-9EE8-F56D76AB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63C"/>
  </w:style>
  <w:style w:type="paragraph" w:styleId="Heading1">
    <w:name w:val="heading 1"/>
    <w:basedOn w:val="Normal"/>
    <w:next w:val="Normal"/>
    <w:link w:val="Heading1Char"/>
    <w:uiPriority w:val="9"/>
    <w:qFormat/>
    <w:rsid w:val="006876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76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76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76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76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76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6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6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6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6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76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76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76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76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7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63C"/>
    <w:rPr>
      <w:rFonts w:eastAsiaTheme="majorEastAsia" w:cstheme="majorBidi"/>
      <w:color w:val="272727" w:themeColor="text1" w:themeTint="D8"/>
    </w:rPr>
  </w:style>
  <w:style w:type="paragraph" w:styleId="Title">
    <w:name w:val="Title"/>
    <w:basedOn w:val="Normal"/>
    <w:next w:val="Normal"/>
    <w:link w:val="TitleChar"/>
    <w:uiPriority w:val="10"/>
    <w:qFormat/>
    <w:rsid w:val="00687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63C"/>
    <w:pPr>
      <w:spacing w:before="160"/>
      <w:jc w:val="center"/>
    </w:pPr>
    <w:rPr>
      <w:i/>
      <w:iCs/>
      <w:color w:val="404040" w:themeColor="text1" w:themeTint="BF"/>
    </w:rPr>
  </w:style>
  <w:style w:type="character" w:customStyle="1" w:styleId="QuoteChar">
    <w:name w:val="Quote Char"/>
    <w:basedOn w:val="DefaultParagraphFont"/>
    <w:link w:val="Quote"/>
    <w:uiPriority w:val="29"/>
    <w:rsid w:val="0068763C"/>
    <w:rPr>
      <w:i/>
      <w:iCs/>
      <w:color w:val="404040" w:themeColor="text1" w:themeTint="BF"/>
    </w:rPr>
  </w:style>
  <w:style w:type="paragraph" w:styleId="ListParagraph">
    <w:name w:val="List Paragraph"/>
    <w:basedOn w:val="Normal"/>
    <w:uiPriority w:val="34"/>
    <w:qFormat/>
    <w:rsid w:val="0068763C"/>
    <w:pPr>
      <w:ind w:left="720"/>
      <w:contextualSpacing/>
    </w:pPr>
  </w:style>
  <w:style w:type="character" w:styleId="IntenseEmphasis">
    <w:name w:val="Intense Emphasis"/>
    <w:basedOn w:val="DefaultParagraphFont"/>
    <w:uiPriority w:val="21"/>
    <w:qFormat/>
    <w:rsid w:val="0068763C"/>
    <w:rPr>
      <w:i/>
      <w:iCs/>
      <w:color w:val="2F5496" w:themeColor="accent1" w:themeShade="BF"/>
    </w:rPr>
  </w:style>
  <w:style w:type="paragraph" w:styleId="IntenseQuote">
    <w:name w:val="Intense Quote"/>
    <w:basedOn w:val="Normal"/>
    <w:next w:val="Normal"/>
    <w:link w:val="IntenseQuoteChar"/>
    <w:uiPriority w:val="30"/>
    <w:qFormat/>
    <w:rsid w:val="00687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763C"/>
    <w:rPr>
      <w:i/>
      <w:iCs/>
      <w:color w:val="2F5496" w:themeColor="accent1" w:themeShade="BF"/>
    </w:rPr>
  </w:style>
  <w:style w:type="character" w:styleId="IntenseReference">
    <w:name w:val="Intense Reference"/>
    <w:basedOn w:val="DefaultParagraphFont"/>
    <w:uiPriority w:val="32"/>
    <w:qFormat/>
    <w:rsid w:val="00687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Fairley</dc:creator>
  <cp:keywords/>
  <dc:description/>
  <cp:lastModifiedBy>Rob Fairley</cp:lastModifiedBy>
  <cp:revision>1</cp:revision>
  <dcterms:created xsi:type="dcterms:W3CDTF">2025-06-17T14:59:00Z</dcterms:created>
  <dcterms:modified xsi:type="dcterms:W3CDTF">2025-06-17T15:01:00Z</dcterms:modified>
</cp:coreProperties>
</file>